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C0" w:rsidRDefault="00297A91" w:rsidP="00672AF0">
      <w:pPr>
        <w:ind w:left="-426" w:right="-472"/>
        <w:jc w:val="center"/>
        <w:rPr>
          <w:b/>
          <w:sz w:val="28"/>
          <w:szCs w:val="28"/>
        </w:rPr>
      </w:pPr>
      <w:r w:rsidRPr="00297A91">
        <w:rPr>
          <w:b/>
          <w:sz w:val="28"/>
          <w:szCs w:val="28"/>
        </w:rPr>
        <w:t>Help sheet for a simple class II corrector (bracket and Bead appliance)</w:t>
      </w:r>
    </w:p>
    <w:p w:rsidR="00297A91" w:rsidRDefault="00297A91" w:rsidP="00672AF0">
      <w:pPr>
        <w:ind w:left="-426" w:right="-472"/>
        <w:rPr>
          <w:b/>
          <w:sz w:val="28"/>
          <w:szCs w:val="28"/>
        </w:rPr>
      </w:pPr>
      <w:r>
        <w:rPr>
          <w:b/>
          <w:sz w:val="28"/>
          <w:szCs w:val="28"/>
        </w:rPr>
        <w:t>Clinician</w:t>
      </w:r>
    </w:p>
    <w:p w:rsidR="00297A91" w:rsidRDefault="00297A91" w:rsidP="00672AF0">
      <w:pPr>
        <w:ind w:left="-426" w:right="-472"/>
        <w:rPr>
          <w:sz w:val="28"/>
          <w:szCs w:val="28"/>
        </w:rPr>
      </w:pPr>
      <w:r>
        <w:rPr>
          <w:sz w:val="28"/>
          <w:szCs w:val="28"/>
        </w:rPr>
        <w:t>Suitability</w:t>
      </w:r>
    </w:p>
    <w:p w:rsidR="00297A91" w:rsidRPr="00297A91" w:rsidRDefault="00297A91" w:rsidP="00672AF0">
      <w:pPr>
        <w:ind w:left="-426" w:right="-472"/>
      </w:pPr>
      <w:r w:rsidRPr="00297A91">
        <w:t>The patient should be 10-14 years of age with a class II malocclusion with class II molars. If there are loose deciduous teeth it is best to delay the start impressions until they have exfoliated</w:t>
      </w:r>
      <w:r w:rsidR="002B3D66">
        <w:t>.</w:t>
      </w:r>
    </w:p>
    <w:p w:rsidR="00297A91" w:rsidRPr="00297A91" w:rsidRDefault="00297A91" w:rsidP="00672AF0">
      <w:pPr>
        <w:ind w:left="-426" w:right="-472"/>
      </w:pPr>
      <w:r w:rsidRPr="00297A91">
        <w:t>You need to take good impressions and note the overjet</w:t>
      </w:r>
      <w:r w:rsidR="007E2320">
        <w:t>. T</w:t>
      </w:r>
      <w:r w:rsidRPr="00297A91">
        <w:t>he impressions will do for start study models and the class II corrector. There is no need to take a functional bite.</w:t>
      </w:r>
    </w:p>
    <w:p w:rsidR="00297A91" w:rsidRDefault="00297A91" w:rsidP="00672AF0">
      <w:pPr>
        <w:ind w:left="-426" w:right="-472"/>
        <w:rPr>
          <w:b/>
          <w:sz w:val="28"/>
          <w:szCs w:val="28"/>
        </w:rPr>
      </w:pPr>
      <w:r>
        <w:rPr>
          <w:b/>
          <w:sz w:val="28"/>
          <w:szCs w:val="28"/>
        </w:rPr>
        <w:t>Technician</w:t>
      </w:r>
    </w:p>
    <w:p w:rsidR="00297A91" w:rsidRPr="00672AF0" w:rsidRDefault="00297A91" w:rsidP="00672AF0">
      <w:pPr>
        <w:pStyle w:val="ListParagraph"/>
        <w:numPr>
          <w:ilvl w:val="0"/>
          <w:numId w:val="1"/>
        </w:numPr>
        <w:ind w:left="-426" w:right="-472"/>
      </w:pPr>
      <w:r w:rsidRPr="00672AF0">
        <w:t>Cast the models and a duplicate set for the study models</w:t>
      </w:r>
      <w:r w:rsidR="00EC559F">
        <w:t>.</w:t>
      </w:r>
    </w:p>
    <w:p w:rsidR="00297A91" w:rsidRPr="00672AF0" w:rsidRDefault="00297A91" w:rsidP="00672AF0">
      <w:pPr>
        <w:pStyle w:val="ListParagraph"/>
        <w:numPr>
          <w:ilvl w:val="0"/>
          <w:numId w:val="1"/>
        </w:numPr>
        <w:ind w:left="-426" w:right="-472"/>
      </w:pPr>
      <w:r w:rsidRPr="00672AF0">
        <w:t>On the working models block out excessive undercuts as you would do when constructing a vacuum formed retainer use heat resistant wax</w:t>
      </w:r>
      <w:r w:rsidR="00DB0429" w:rsidRPr="00672AF0">
        <w:t>*. Pay attention to unerupted teeth and the lower anterior teeth. Insufficient blocking out will make the lower very difficult to remove</w:t>
      </w:r>
      <w:r w:rsidR="00EC559F">
        <w:t>;</w:t>
      </w:r>
      <w:r w:rsidR="00DB0429" w:rsidRPr="00672AF0">
        <w:t xml:space="preserve"> while excessive blocking out of the upper will make it unretentive.</w:t>
      </w:r>
    </w:p>
    <w:p w:rsidR="00DB0429" w:rsidRPr="00672AF0" w:rsidRDefault="00DB0429" w:rsidP="00672AF0">
      <w:pPr>
        <w:pStyle w:val="ListParagraph"/>
        <w:numPr>
          <w:ilvl w:val="0"/>
          <w:numId w:val="1"/>
        </w:numPr>
        <w:ind w:left="-426" w:right="-472"/>
      </w:pPr>
      <w:r w:rsidRPr="00672AF0">
        <w:t>It is helpful to place on a plasterless articulator to give a class I molar relationship.</w:t>
      </w:r>
    </w:p>
    <w:p w:rsidR="00DB0429" w:rsidRPr="00672AF0" w:rsidRDefault="00DB0429" w:rsidP="00672AF0">
      <w:pPr>
        <w:pStyle w:val="ListParagraph"/>
        <w:numPr>
          <w:ilvl w:val="0"/>
          <w:numId w:val="1"/>
        </w:numPr>
        <w:ind w:left="-426" w:right="-472"/>
      </w:pPr>
      <w:r w:rsidRPr="00672AF0">
        <w:t>Position 4mm diameter plastic beads onto the Disto-palatal cusp attaching it with heat resistant wax* or super glue. Don’t use too much wax or the bead will not be incorporated in</w:t>
      </w:r>
      <w:r w:rsidR="007E2320">
        <w:t>to</w:t>
      </w:r>
      <w:r w:rsidRPr="00672AF0">
        <w:t xml:space="preserve"> the appliance</w:t>
      </w:r>
      <w:r w:rsidR="00EC559F">
        <w:t>.</w:t>
      </w:r>
    </w:p>
    <w:p w:rsidR="00DB0429" w:rsidRPr="00297A91" w:rsidRDefault="00DB0429" w:rsidP="00672AF0">
      <w:pPr>
        <w:pStyle w:val="ListParagraph"/>
        <w:ind w:left="-426" w:right="-472"/>
        <w:rPr>
          <w:sz w:val="28"/>
          <w:szCs w:val="28"/>
        </w:rPr>
      </w:pPr>
    </w:p>
    <w:p w:rsidR="00297A91" w:rsidRPr="00297A91" w:rsidRDefault="00DB0429" w:rsidP="00672AF0">
      <w:pPr>
        <w:ind w:left="-426" w:right="-472"/>
        <w:rPr>
          <w:sz w:val="28"/>
          <w:szCs w:val="28"/>
        </w:rPr>
      </w:pPr>
      <w:r w:rsidRPr="00DB0429">
        <w:rPr>
          <w:noProof/>
          <w:sz w:val="28"/>
          <w:szCs w:val="28"/>
          <w:lang w:val="en-GB" w:eastAsia="en-GB" w:bidi="ar-SA"/>
        </w:rPr>
        <w:drawing>
          <wp:inline distT="0" distB="0" distL="0" distR="0">
            <wp:extent cx="2514600" cy="2171699"/>
            <wp:effectExtent l="19050" t="0" r="0" b="0"/>
            <wp:docPr id="1" name="Picture 1" descr="12.09.04.16 :: OT :: SC Study Seri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4" name="Picture 5" descr="12.09.04.16 :: OT :: SC Study Serie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99" cy="217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429">
        <w:rPr>
          <w:noProof/>
          <w:sz w:val="28"/>
          <w:szCs w:val="28"/>
          <w:lang w:val="en-GB" w:eastAsia="en-GB" w:bidi="ar-SA"/>
        </w:rPr>
        <w:drawing>
          <wp:inline distT="0" distB="0" distL="0" distR="0">
            <wp:extent cx="2886075" cy="2171700"/>
            <wp:effectExtent l="19050" t="0" r="9525" b="0"/>
            <wp:docPr id="2" name="Picture 2" descr="12.09.04.16 :: OT :: SC Study Seri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5" name="Picture 7" descr="12.09.04.16 :: OT :: SC Study Series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91" w:rsidRPr="00672AF0" w:rsidRDefault="00DB0429" w:rsidP="00672AF0">
      <w:pPr>
        <w:pStyle w:val="ListParagraph"/>
        <w:numPr>
          <w:ilvl w:val="0"/>
          <w:numId w:val="2"/>
        </w:numPr>
        <w:ind w:left="-426" w:right="-472"/>
      </w:pPr>
      <w:r w:rsidRPr="00672AF0">
        <w:t xml:space="preserve"> Remove the upper model from the articulator</w:t>
      </w:r>
      <w:r w:rsidR="007C149D" w:rsidRPr="00672AF0">
        <w:t xml:space="preserve">, coat with separating medium and allow to dry. Pull down a vacuum form </w:t>
      </w:r>
      <w:r w:rsidR="002B3D66" w:rsidRPr="00672AF0">
        <w:t>blank using</w:t>
      </w:r>
      <w:r w:rsidR="007C149D" w:rsidRPr="00672AF0">
        <w:t xml:space="preserve"> Essix 0.75mm ACE material or </w:t>
      </w:r>
      <w:proofErr w:type="spellStart"/>
      <w:r w:rsidR="007C149D" w:rsidRPr="00672AF0">
        <w:t>Erkodur</w:t>
      </w:r>
      <w:proofErr w:type="spellEnd"/>
      <w:r w:rsidR="007C149D" w:rsidRPr="00672AF0">
        <w:t xml:space="preserve"> 0.8mm.</w:t>
      </w:r>
    </w:p>
    <w:p w:rsidR="007C149D" w:rsidRPr="00672AF0" w:rsidRDefault="007C149D" w:rsidP="00672AF0">
      <w:pPr>
        <w:pStyle w:val="ListParagraph"/>
        <w:numPr>
          <w:ilvl w:val="0"/>
          <w:numId w:val="2"/>
        </w:numPr>
        <w:ind w:left="-426" w:right="-472"/>
      </w:pPr>
      <w:r w:rsidRPr="00672AF0">
        <w:t>Remove from model</w:t>
      </w:r>
      <w:r w:rsidR="00EC559F">
        <w:t>,</w:t>
      </w:r>
      <w:r w:rsidRPr="00672AF0">
        <w:t xml:space="preserve"> clean away the wax</w:t>
      </w:r>
      <w:r w:rsidR="00EC559F">
        <w:t>. T</w:t>
      </w:r>
      <w:r w:rsidRPr="00672AF0">
        <w:t xml:space="preserve">he </w:t>
      </w:r>
      <w:r w:rsidR="007E2320" w:rsidRPr="00672AF0">
        <w:t>bead should</w:t>
      </w:r>
      <w:r w:rsidRPr="00672AF0">
        <w:t xml:space="preserve"> be securely retained</w:t>
      </w:r>
      <w:r w:rsidR="00EC559F">
        <w:t>.</w:t>
      </w:r>
    </w:p>
    <w:p w:rsidR="007C149D" w:rsidRPr="00672AF0" w:rsidRDefault="007C149D" w:rsidP="00672AF0">
      <w:pPr>
        <w:pStyle w:val="ListParagraph"/>
        <w:numPr>
          <w:ilvl w:val="0"/>
          <w:numId w:val="2"/>
        </w:numPr>
        <w:ind w:left="-426" w:right="-472"/>
      </w:pPr>
      <w:r w:rsidRPr="00672AF0">
        <w:t>Trim the upper appliance to a ret</w:t>
      </w:r>
      <w:r w:rsidR="002B3D66">
        <w:t>ainer shape with upper 21</w:t>
      </w:r>
      <w:r w:rsidR="007E2320">
        <w:t>/</w:t>
      </w:r>
      <w:r w:rsidR="002B3D66">
        <w:t>12 only</w:t>
      </w:r>
      <w:r w:rsidRPr="00672AF0">
        <w:t xml:space="preserve"> half covered on the labial surface to allow the clinician to place brackets on upper 2/2 (or buttons)</w:t>
      </w:r>
      <w:r w:rsidR="00EC559F">
        <w:t>.</w:t>
      </w:r>
    </w:p>
    <w:p w:rsidR="007C149D" w:rsidRDefault="007C149D" w:rsidP="007C149D">
      <w:pPr>
        <w:pStyle w:val="ListParagraph"/>
        <w:rPr>
          <w:sz w:val="28"/>
          <w:szCs w:val="28"/>
        </w:rPr>
      </w:pPr>
      <w:r w:rsidRPr="007C149D">
        <w:rPr>
          <w:noProof/>
          <w:sz w:val="28"/>
          <w:szCs w:val="28"/>
          <w:lang w:val="en-GB" w:eastAsia="en-GB" w:bidi="ar-SA"/>
        </w:rPr>
        <w:drawing>
          <wp:inline distT="0" distB="0" distL="0" distR="0">
            <wp:extent cx="4143375" cy="2228850"/>
            <wp:effectExtent l="19050" t="0" r="9525" b="0"/>
            <wp:docPr id="3" name="Picture 3" descr="12.09.04.16 :: OT :: SC Study Seri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0" name="Picture 11" descr="12.09.04.16 :: OT :: SC Study Serie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/>
                    </a:blip>
                    <a:srcRect t="1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28" cy="22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9D" w:rsidRPr="00672AF0" w:rsidRDefault="007C149D" w:rsidP="007C149D">
      <w:pPr>
        <w:pStyle w:val="ListParagraph"/>
        <w:numPr>
          <w:ilvl w:val="0"/>
          <w:numId w:val="3"/>
        </w:numPr>
      </w:pPr>
      <w:r w:rsidRPr="00672AF0">
        <w:lastRenderedPageBreak/>
        <w:t>THIS APPLIANCE IS QUITE DELICATE AND WE ROUTINELY MAKE TWO.</w:t>
      </w:r>
    </w:p>
    <w:p w:rsidR="007C149D" w:rsidRPr="00672AF0" w:rsidRDefault="007C149D" w:rsidP="007C149D">
      <w:pPr>
        <w:pStyle w:val="ListParagraph"/>
        <w:numPr>
          <w:ilvl w:val="0"/>
          <w:numId w:val="3"/>
        </w:numPr>
      </w:pPr>
      <w:r w:rsidRPr="00672AF0">
        <w:t xml:space="preserve">Construct a </w:t>
      </w:r>
      <w:r w:rsidR="00E15852">
        <w:t>vacuum formed retainer from 0.0</w:t>
      </w:r>
      <w:r w:rsidRPr="00672AF0">
        <w:t>30 inch/ 0.75mm Essix ACE material</w:t>
      </w:r>
      <w:r w:rsidR="00DE3662" w:rsidRPr="00672AF0">
        <w:t>. F</w:t>
      </w:r>
      <w:r w:rsidRPr="00672AF0">
        <w:t>inish to size and return to the model</w:t>
      </w:r>
      <w:r w:rsidR="00EC559F">
        <w:t>.</w:t>
      </w:r>
    </w:p>
    <w:p w:rsidR="00DE3662" w:rsidRPr="00672AF0" w:rsidRDefault="00DE3662" w:rsidP="007C149D">
      <w:pPr>
        <w:pStyle w:val="ListParagraph"/>
        <w:numPr>
          <w:ilvl w:val="0"/>
          <w:numId w:val="3"/>
        </w:numPr>
      </w:pPr>
      <w:r w:rsidRPr="00672AF0">
        <w:t>Rearticulate both models the beads on the upper should engage distal to the lower 6/6 and the bite will have opened as a result. Use clear acrylic to build up a thin even posterior bite plane.</w:t>
      </w:r>
    </w:p>
    <w:p w:rsidR="00DE3662" w:rsidRPr="00672AF0" w:rsidRDefault="00DE3662" w:rsidP="007C149D">
      <w:pPr>
        <w:pStyle w:val="ListParagraph"/>
        <w:numPr>
          <w:ilvl w:val="0"/>
          <w:numId w:val="3"/>
        </w:numPr>
      </w:pPr>
      <w:r w:rsidRPr="00672AF0">
        <w:t>If there are lower second molars and you wish to extend the appliance over them</w:t>
      </w:r>
      <w:r w:rsidR="007E2320">
        <w:t>,</w:t>
      </w:r>
      <w:r w:rsidRPr="00672AF0">
        <w:t xml:space="preserve"> before curing close the articulator for the bead to indent the acrylic. Reopen and cure the lower appliance only.</w:t>
      </w:r>
      <w:r w:rsidR="002B3D66">
        <w:t xml:space="preserve"> The lower appliance is very strong and there is no need to make two.</w:t>
      </w:r>
    </w:p>
    <w:p w:rsidR="00672AF0" w:rsidRPr="00672AF0" w:rsidRDefault="00DE3662" w:rsidP="007C149D">
      <w:pPr>
        <w:pStyle w:val="ListParagraph"/>
        <w:numPr>
          <w:ilvl w:val="0"/>
          <w:numId w:val="3"/>
        </w:numPr>
      </w:pPr>
      <w:r w:rsidRPr="00672AF0">
        <w:t xml:space="preserve">When cured trim away excess </w:t>
      </w:r>
      <w:r w:rsidR="002B3D66">
        <w:t>acrylic, produce flat bite plan</w:t>
      </w:r>
      <w:r w:rsidRPr="00672AF0">
        <w:t>es with the addition of a slight posterior tilt. Remove enough acrylic to allow the bead to centre the occlusion in a class I relationship</w:t>
      </w:r>
      <w:r w:rsidR="007E2320">
        <w:t>.</w:t>
      </w:r>
    </w:p>
    <w:p w:rsidR="00672AF0" w:rsidRPr="00672AF0" w:rsidRDefault="00672AF0" w:rsidP="007C149D">
      <w:pPr>
        <w:pStyle w:val="ListParagraph"/>
        <w:numPr>
          <w:ilvl w:val="0"/>
          <w:numId w:val="3"/>
        </w:numPr>
      </w:pPr>
      <w:r w:rsidRPr="00672AF0">
        <w:t>Remove a window to the buccal of lower 6/6 to allow the placement of tubes or buttons on lower 6/6</w:t>
      </w:r>
      <w:r w:rsidR="00EC559F">
        <w:t>.</w:t>
      </w:r>
    </w:p>
    <w:p w:rsidR="00672AF0" w:rsidRPr="00672AF0" w:rsidRDefault="00672AF0" w:rsidP="007C149D">
      <w:pPr>
        <w:pStyle w:val="ListParagraph"/>
        <w:numPr>
          <w:ilvl w:val="0"/>
          <w:numId w:val="3"/>
        </w:numPr>
      </w:pPr>
      <w:r w:rsidRPr="00672AF0">
        <w:t>Polish</w:t>
      </w:r>
      <w:r w:rsidR="00EC559F">
        <w:t>.</w:t>
      </w:r>
    </w:p>
    <w:p w:rsidR="00672AF0" w:rsidRDefault="00672AF0" w:rsidP="00672AF0">
      <w:pPr>
        <w:pStyle w:val="ListParagraph"/>
        <w:ind w:left="1440"/>
        <w:rPr>
          <w:sz w:val="28"/>
          <w:szCs w:val="28"/>
        </w:rPr>
      </w:pPr>
    </w:p>
    <w:p w:rsidR="00672AF0" w:rsidRDefault="00672AF0" w:rsidP="00672AF0">
      <w:pPr>
        <w:pStyle w:val="ListParagraph"/>
        <w:ind w:left="1440"/>
        <w:rPr>
          <w:sz w:val="28"/>
          <w:szCs w:val="28"/>
        </w:rPr>
      </w:pPr>
    </w:p>
    <w:p w:rsidR="00672AF0" w:rsidRDefault="00672AF0" w:rsidP="00672AF0">
      <w:pPr>
        <w:pStyle w:val="ListParagraph"/>
        <w:ind w:left="1440"/>
        <w:rPr>
          <w:sz w:val="28"/>
          <w:szCs w:val="28"/>
        </w:rPr>
      </w:pPr>
    </w:p>
    <w:p w:rsidR="00DE3662" w:rsidRDefault="00672AF0" w:rsidP="00672AF0">
      <w:pPr>
        <w:pStyle w:val="ListParagraph"/>
        <w:ind w:left="1440"/>
        <w:rPr>
          <w:sz w:val="28"/>
          <w:szCs w:val="28"/>
        </w:rPr>
      </w:pPr>
      <w:r w:rsidRPr="00672AF0">
        <w:rPr>
          <w:noProof/>
          <w:sz w:val="28"/>
          <w:szCs w:val="28"/>
          <w:lang w:val="en-GB" w:eastAsia="en-GB" w:bidi="ar-SA"/>
        </w:rPr>
        <w:drawing>
          <wp:inline distT="0" distB="0" distL="0" distR="0">
            <wp:extent cx="4057650" cy="2857500"/>
            <wp:effectExtent l="19050" t="0" r="0" b="0"/>
            <wp:docPr id="4" name="Picture 4" descr="12.09.04.16 :: OT :: SC Study Seri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7" name="Picture 5" descr="12.09.04.16 :: OT :: SC Study Series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25" cy="285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662">
        <w:rPr>
          <w:sz w:val="28"/>
          <w:szCs w:val="28"/>
        </w:rPr>
        <w:t xml:space="preserve"> </w:t>
      </w:r>
    </w:p>
    <w:p w:rsidR="00672AF0" w:rsidRDefault="00672AF0" w:rsidP="00672AF0">
      <w:pPr>
        <w:pStyle w:val="ListParagraph"/>
        <w:ind w:left="1440"/>
        <w:rPr>
          <w:sz w:val="28"/>
          <w:szCs w:val="28"/>
        </w:rPr>
      </w:pPr>
    </w:p>
    <w:p w:rsidR="00672AF0" w:rsidRDefault="00672AF0" w:rsidP="00672AF0">
      <w:pPr>
        <w:ind w:left="-426" w:right="-472"/>
        <w:rPr>
          <w:b/>
          <w:sz w:val="28"/>
          <w:szCs w:val="28"/>
        </w:rPr>
      </w:pPr>
      <w:r>
        <w:rPr>
          <w:b/>
          <w:sz w:val="28"/>
          <w:szCs w:val="28"/>
        </w:rPr>
        <w:t>Clinician</w:t>
      </w:r>
    </w:p>
    <w:p w:rsidR="00672AF0" w:rsidRDefault="00672AF0" w:rsidP="00672AF0">
      <w:pPr>
        <w:pStyle w:val="ListParagraph"/>
        <w:numPr>
          <w:ilvl w:val="0"/>
          <w:numId w:val="4"/>
        </w:numPr>
      </w:pPr>
      <w:r>
        <w:t>Fit splints</w:t>
      </w:r>
      <w:r w:rsidR="00EC559F">
        <w:t>.</w:t>
      </w:r>
    </w:p>
    <w:p w:rsidR="00672AF0" w:rsidRDefault="00672AF0" w:rsidP="00672AF0">
      <w:pPr>
        <w:pStyle w:val="ListParagraph"/>
        <w:numPr>
          <w:ilvl w:val="0"/>
          <w:numId w:val="4"/>
        </w:numPr>
      </w:pPr>
      <w:r>
        <w:t>Bond tubes lower 6/6</w:t>
      </w:r>
      <w:r w:rsidR="00EC559F">
        <w:t>.</w:t>
      </w:r>
    </w:p>
    <w:p w:rsidR="00672AF0" w:rsidRDefault="00672AF0" w:rsidP="00672AF0">
      <w:pPr>
        <w:pStyle w:val="ListParagraph"/>
        <w:numPr>
          <w:ilvl w:val="0"/>
          <w:numId w:val="4"/>
        </w:numPr>
      </w:pPr>
      <w:r>
        <w:t>Bond brackets upper 2/2 or if you wish you can use buttons instead of the tubes and brackets</w:t>
      </w:r>
      <w:r w:rsidR="00EC559F">
        <w:t>,</w:t>
      </w:r>
      <w:r>
        <w:t xml:space="preserve"> but</w:t>
      </w:r>
      <w:r w:rsidR="00EC559F">
        <w:t>,</w:t>
      </w:r>
      <w:r>
        <w:t xml:space="preserve"> because this appliance works so quickly</w:t>
      </w:r>
      <w:r w:rsidR="00EC559F">
        <w:t>,</w:t>
      </w:r>
      <w:r>
        <w:t xml:space="preserve"> it is easier to put the brackets on</w:t>
      </w:r>
      <w:r w:rsidR="00EC559F">
        <w:t>. Y</w:t>
      </w:r>
      <w:r>
        <w:t xml:space="preserve">ou will probably be ready to bond up in 12 </w:t>
      </w:r>
      <w:r w:rsidR="002B3D66">
        <w:t>weeks</w:t>
      </w:r>
    </w:p>
    <w:p w:rsidR="00672AF0" w:rsidRDefault="00672AF0" w:rsidP="00672AF0">
      <w:pPr>
        <w:pStyle w:val="ListParagraph"/>
        <w:numPr>
          <w:ilvl w:val="0"/>
          <w:numId w:val="4"/>
        </w:numPr>
      </w:pPr>
      <w:r>
        <w:t>Use elastics lower 6/6 to upper 2/2</w:t>
      </w:r>
      <w:r w:rsidR="00516371">
        <w:t xml:space="preserve"> TP ¼” orange 4.5oz</w:t>
      </w:r>
    </w:p>
    <w:p w:rsidR="00672AF0" w:rsidRDefault="00672AF0" w:rsidP="00672AF0">
      <w:pPr>
        <w:pStyle w:val="ListParagraph"/>
        <w:numPr>
          <w:ilvl w:val="0"/>
          <w:numId w:val="4"/>
        </w:numPr>
      </w:pPr>
      <w:r>
        <w:t>IMPORTANT RULES</w:t>
      </w:r>
    </w:p>
    <w:p w:rsidR="00672AF0" w:rsidRDefault="00EC559F" w:rsidP="002B3D66">
      <w:pPr>
        <w:pStyle w:val="ListParagraph"/>
        <w:numPr>
          <w:ilvl w:val="0"/>
          <w:numId w:val="5"/>
        </w:numPr>
      </w:pPr>
      <w:r>
        <w:t>NEVER WEAR THE EL</w:t>
      </w:r>
      <w:r w:rsidR="00672AF0">
        <w:t>ASTICS WITHOUT THE SPLINTS</w:t>
      </w:r>
    </w:p>
    <w:p w:rsidR="00672AF0" w:rsidRDefault="00672AF0" w:rsidP="002B3D66">
      <w:pPr>
        <w:pStyle w:val="ListParagraph"/>
        <w:numPr>
          <w:ilvl w:val="0"/>
          <w:numId w:val="5"/>
        </w:numPr>
      </w:pPr>
      <w:r>
        <w:lastRenderedPageBreak/>
        <w:t>I</w:t>
      </w:r>
      <w:r w:rsidR="00EC559F">
        <w:t>F THE UPPER SPLINT IS DAMAGED A</w:t>
      </w:r>
      <w:r>
        <w:t>ROUND THE UPPER LATERAL INCISOR DO NOT WEAR THE ELASTIC</w:t>
      </w:r>
    </w:p>
    <w:p w:rsidR="002B3D66" w:rsidRDefault="002B3D66" w:rsidP="002B3D66">
      <w:pPr>
        <w:pStyle w:val="ListParagraph"/>
        <w:numPr>
          <w:ilvl w:val="0"/>
          <w:numId w:val="5"/>
        </w:numPr>
      </w:pPr>
      <w:r>
        <w:t>LOW SUGAR DIET AND GOOD BRUSHING IS INPORTANT</w:t>
      </w:r>
    </w:p>
    <w:p w:rsidR="002B3D66" w:rsidRDefault="002B3D66" w:rsidP="002B3D66">
      <w:r w:rsidRPr="002B3D66">
        <w:rPr>
          <w:noProof/>
          <w:lang w:val="en-GB" w:eastAsia="en-GB" w:bidi="ar-SA"/>
        </w:rPr>
        <w:drawing>
          <wp:inline distT="0" distB="0" distL="0" distR="0">
            <wp:extent cx="5731510" cy="3806923"/>
            <wp:effectExtent l="19050" t="0" r="2540" b="0"/>
            <wp:docPr id="5" name="Picture 5" descr="12.04.26.03 :: OT :: SC Study Serie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6" name="Picture 4" descr="12.04.26.03 :: OT :: SC Study Series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66" w:rsidRDefault="002B3D66" w:rsidP="002B3D66"/>
    <w:p w:rsidR="002B3D66" w:rsidRDefault="002B3D66" w:rsidP="002B3D66">
      <w:pPr>
        <w:ind w:left="1800"/>
      </w:pPr>
      <w:r>
        <w:t xml:space="preserve">*Transparent Heat resistant blocking out wax from </w:t>
      </w:r>
      <w:proofErr w:type="spellStart"/>
      <w:r>
        <w:t>Erkodent</w:t>
      </w:r>
      <w:proofErr w:type="spellEnd"/>
      <w:r>
        <w:t xml:space="preserve"> supplied by </w:t>
      </w:r>
      <w:proofErr w:type="spellStart"/>
      <w:r>
        <w:t>Natt</w:t>
      </w:r>
      <w:proofErr w:type="spellEnd"/>
      <w:r>
        <w:t xml:space="preserve"> Ltd</w:t>
      </w:r>
    </w:p>
    <w:p w:rsidR="002B3D66" w:rsidRDefault="002B3D66" w:rsidP="002B3D66">
      <w:pPr>
        <w:ind w:left="1800"/>
      </w:pPr>
    </w:p>
    <w:p w:rsidR="002B3D66" w:rsidRDefault="002B3D66" w:rsidP="002B3D66">
      <w:pPr>
        <w:ind w:left="1800"/>
      </w:pPr>
      <w:r>
        <w:t>Plastic beads PB 101</w:t>
      </w:r>
      <w:r w:rsidR="00EC559F">
        <w:t>.</w:t>
      </w:r>
      <w:r>
        <w:t xml:space="preserve"> 4mm from the </w:t>
      </w:r>
      <w:proofErr w:type="gramStart"/>
      <w:r>
        <w:t>Spellbound</w:t>
      </w:r>
      <w:proofErr w:type="gramEnd"/>
      <w:r>
        <w:t xml:space="preserve"> bead company £1 per 100</w:t>
      </w:r>
      <w:r w:rsidR="00EC559F">
        <w:t>.</w:t>
      </w:r>
    </w:p>
    <w:p w:rsidR="002B3D66" w:rsidRDefault="00F80FA8" w:rsidP="002B3D66">
      <w:pPr>
        <w:ind w:left="1800"/>
        <w:rPr>
          <w:rStyle w:val="HTMLCite"/>
          <w:rFonts w:ascii="Arial" w:hAnsi="Arial" w:cs="Arial"/>
          <w:color w:val="222222"/>
        </w:rPr>
      </w:pPr>
      <w:hyperlink r:id="rId10" w:history="1">
        <w:r w:rsidR="002B3D66" w:rsidRPr="00821C65">
          <w:rPr>
            <w:rStyle w:val="Hyperlink"/>
            <w:rFonts w:ascii="Arial" w:hAnsi="Arial" w:cs="Arial"/>
          </w:rPr>
          <w:t>www.</w:t>
        </w:r>
        <w:r w:rsidR="002B3D66" w:rsidRPr="00821C65">
          <w:rPr>
            <w:rStyle w:val="Hyperlink"/>
            <w:rFonts w:ascii="Arial" w:hAnsi="Arial" w:cs="Arial"/>
            <w:b/>
            <w:bCs/>
          </w:rPr>
          <w:t>spellboundbead</w:t>
        </w:r>
        <w:r w:rsidR="002B3D66" w:rsidRPr="00821C65">
          <w:rPr>
            <w:rStyle w:val="Hyperlink"/>
            <w:rFonts w:ascii="Arial" w:hAnsi="Arial" w:cs="Arial"/>
          </w:rPr>
          <w:t>.</w:t>
        </w:r>
        <w:r w:rsidR="002B3D66" w:rsidRPr="00821C65">
          <w:rPr>
            <w:rStyle w:val="Hyperlink"/>
            <w:rFonts w:ascii="Arial" w:hAnsi="Arial" w:cs="Arial"/>
            <w:b/>
            <w:bCs/>
          </w:rPr>
          <w:t>co</w:t>
        </w:r>
        <w:r w:rsidR="002B3D66" w:rsidRPr="00821C65">
          <w:rPr>
            <w:rStyle w:val="Hyperlink"/>
            <w:rFonts w:ascii="Arial" w:hAnsi="Arial" w:cs="Arial"/>
          </w:rPr>
          <w:t>.uk/</w:t>
        </w:r>
      </w:hyperlink>
    </w:p>
    <w:p w:rsidR="002B3D66" w:rsidRDefault="002B3D66" w:rsidP="002B3D66">
      <w:pPr>
        <w:ind w:left="1800"/>
        <w:rPr>
          <w:rStyle w:val="HTMLCite"/>
          <w:rFonts w:ascii="Arial" w:hAnsi="Arial" w:cs="Arial"/>
          <w:color w:val="222222"/>
        </w:rPr>
      </w:pPr>
    </w:p>
    <w:p w:rsidR="002B3D66" w:rsidRPr="00672AF0" w:rsidRDefault="002B3D66" w:rsidP="002B3D66">
      <w:pPr>
        <w:ind w:left="1800"/>
      </w:pPr>
      <w:r>
        <w:rPr>
          <w:rStyle w:val="HTMLCite"/>
          <w:rFonts w:ascii="Arial" w:hAnsi="Arial" w:cs="Arial"/>
          <w:color w:val="222222"/>
        </w:rPr>
        <w:t xml:space="preserve">Advice Pat Watkins Queens Hospital Burton on Trent </w:t>
      </w:r>
      <w:r w:rsidR="00EC559F">
        <w:rPr>
          <w:rStyle w:val="HTMLCite"/>
          <w:rFonts w:ascii="Arial" w:hAnsi="Arial" w:cs="Arial"/>
          <w:color w:val="222222"/>
        </w:rPr>
        <w:t>Tel 01283 56633 dental l</w:t>
      </w:r>
      <w:r>
        <w:rPr>
          <w:rStyle w:val="HTMLCite"/>
          <w:rFonts w:ascii="Arial" w:hAnsi="Arial" w:cs="Arial"/>
          <w:color w:val="222222"/>
        </w:rPr>
        <w:t>ab</w:t>
      </w:r>
    </w:p>
    <w:sectPr w:rsidR="002B3D66" w:rsidRPr="00672AF0" w:rsidSect="009E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35D"/>
    <w:multiLevelType w:val="hybridMultilevel"/>
    <w:tmpl w:val="2E748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EB6FCB"/>
    <w:multiLevelType w:val="hybridMultilevel"/>
    <w:tmpl w:val="020AAA98"/>
    <w:lvl w:ilvl="0" w:tplc="3FF4F0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6171454"/>
    <w:multiLevelType w:val="hybridMultilevel"/>
    <w:tmpl w:val="03483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24F62"/>
    <w:multiLevelType w:val="hybridMultilevel"/>
    <w:tmpl w:val="3D68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C4719"/>
    <w:multiLevelType w:val="hybridMultilevel"/>
    <w:tmpl w:val="98E405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A91"/>
    <w:rsid w:val="00236E7D"/>
    <w:rsid w:val="00297A91"/>
    <w:rsid w:val="002B3D66"/>
    <w:rsid w:val="003E5D7D"/>
    <w:rsid w:val="004925E1"/>
    <w:rsid w:val="00516371"/>
    <w:rsid w:val="00556F5F"/>
    <w:rsid w:val="00672AF0"/>
    <w:rsid w:val="00692A6E"/>
    <w:rsid w:val="007C149D"/>
    <w:rsid w:val="007E2320"/>
    <w:rsid w:val="009E09C0"/>
    <w:rsid w:val="00A61E57"/>
    <w:rsid w:val="00BE0A12"/>
    <w:rsid w:val="00DB0429"/>
    <w:rsid w:val="00DE3662"/>
    <w:rsid w:val="00E15852"/>
    <w:rsid w:val="00E82AF3"/>
    <w:rsid w:val="00EC559F"/>
    <w:rsid w:val="00F8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E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5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5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5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5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5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5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5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5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5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5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5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925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5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5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5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5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5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925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25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5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925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925E1"/>
    <w:rPr>
      <w:b/>
      <w:bCs/>
    </w:rPr>
  </w:style>
  <w:style w:type="character" w:styleId="Emphasis">
    <w:name w:val="Emphasis"/>
    <w:basedOn w:val="DefaultParagraphFont"/>
    <w:uiPriority w:val="20"/>
    <w:qFormat/>
    <w:rsid w:val="004925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925E1"/>
    <w:rPr>
      <w:szCs w:val="32"/>
    </w:rPr>
  </w:style>
  <w:style w:type="paragraph" w:styleId="ListParagraph">
    <w:name w:val="List Paragraph"/>
    <w:basedOn w:val="Normal"/>
    <w:uiPriority w:val="34"/>
    <w:qFormat/>
    <w:rsid w:val="004925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25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925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5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5E1"/>
    <w:rPr>
      <w:b/>
      <w:i/>
      <w:sz w:val="24"/>
    </w:rPr>
  </w:style>
  <w:style w:type="character" w:styleId="SubtleEmphasis">
    <w:name w:val="Subtle Emphasis"/>
    <w:uiPriority w:val="19"/>
    <w:qFormat/>
    <w:rsid w:val="004925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925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925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925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925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25E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29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2B3D66"/>
    <w:rPr>
      <w:i/>
      <w:iCs/>
    </w:rPr>
  </w:style>
  <w:style w:type="character" w:styleId="Hyperlink">
    <w:name w:val="Hyperlink"/>
    <w:basedOn w:val="DefaultParagraphFont"/>
    <w:uiPriority w:val="99"/>
    <w:unhideWhenUsed/>
    <w:rsid w:val="002B3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pellboundbead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2012-09-17T19:12:00Z</dcterms:created>
  <dcterms:modified xsi:type="dcterms:W3CDTF">2012-09-18T20:23:00Z</dcterms:modified>
</cp:coreProperties>
</file>